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7A2" w:rsidRPr="007627A2" w:rsidRDefault="007627A2" w:rsidP="007627A2">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7627A2">
        <w:rPr>
          <w:rFonts w:ascii="Times New Roman" w:eastAsia="Times New Roman" w:hAnsi="Times New Roman" w:cs="Times New Roman"/>
          <w:b/>
          <w:kern w:val="36"/>
          <w:sz w:val="24"/>
          <w:szCs w:val="24"/>
          <w:lang w:val="kk-KZ" w:eastAsia="ru-RU"/>
        </w:rPr>
        <w:t xml:space="preserve">Электрондық қолма-қол ақшаны пайдаланумен жүретін төлемдік жүйелер </w:t>
      </w:r>
    </w:p>
    <w:p w:rsidR="007627A2" w:rsidRPr="00F34803" w:rsidRDefault="007627A2" w:rsidP="007627A2">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7627A2" w:rsidRPr="00F34803" w:rsidRDefault="007627A2" w:rsidP="007627A2">
      <w:pPr>
        <w:spacing w:after="0" w:line="240" w:lineRule="auto"/>
        <w:ind w:firstLine="709"/>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Егер электрондық төлемдердің кейбір жүйесі әрбір клиентке төлемнің анонимдігін және төлемдік қаражаттарды жеке өзі билеуін қамтамасыз етсе, онда ол клиенттің билігіне электрондық қолма-қол ақшаны береді деуге болады. Осыған орай төлемдердің анонимдігі мен билеу еркіндігі  - жүйенің ішкі қасиеті болуы керек. Электрондық қолма-қол ақшаларға операция жүргі-зетін төлемдік жүйеде клиенттер, төлемдерді жүргізудің белгілі ережелеріне сүйене отырып, өз құқықтарын өздері қамтамасыз етеді, сондықтан олар компания-операторға сенуге тиісті емес.</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Егер иеленуші қаржылық деректері мен олардың резервтік көшірмелерін жоғалтып алса, электрондық қолма-қол ақшаны да, кәдімгі ақша сияқты, жо-ғалтып алуға болады. Электрондық қолма-қол ақшаға пайыз да есептелмейді.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Кредиттік карталарды пайдаланатын қолданыстағы төлемдік жүйелер шеңберінде төлемдерде қолма-қол ақша төлемдерінің негізгі қасиеттері болмайды. Оларға бірқатар кемшіліктер тән, бұл оларды қолма-қол ақшадан айрықша етеді және олардың Internet-тегі қолданымдылық аясын шектейді:</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мүмкін болатын төлемдер қосындысы жеткілікті түрде жіңішке – бір доллардан бірнеше мыңдаған долларға дейінгі диапазонда жатыр, сондықтан цент үлесінен бірнеше долларға дейінгі микротөлемдер үшін басқа қаражат талап етіледі;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төлем жүргізуге талап етілетін уақыт, көбінесе тым көп;</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                   карточкалық жүйеде сатушылар мен сатып алушылар тең құқықты емес, жеке алғанда, карточкасы бар қатардағы иегерлер өздерінің карточкалық шотынан ақша ала алмайды. Бұл, мысалы, өз клиенттеріне сыйақы төлеуге тиісті виртуалды казино, лотерея және басқа ұқсас кәіпорындарды ұйымдас-тыруды қиындатады;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Электрондық қолма-қол ақшалар мұндай кемшіліктерден арылған, сондықтан пластикалық карталар негізінде төлем жүйелеріне маңызды бәсекелестікті құрай алады.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w:t>
      </w:r>
    </w:p>
    <w:p w:rsidR="007627A2" w:rsidRPr="00F34803" w:rsidRDefault="007627A2" w:rsidP="007627A2">
      <w:pPr>
        <w:spacing w:after="0" w:line="240" w:lineRule="auto"/>
        <w:ind w:firstLine="709"/>
        <w:outlineLvl w:val="0"/>
        <w:rPr>
          <w:rFonts w:ascii="Times New Roman" w:eastAsia="Times New Roman" w:hAnsi="Times New Roman" w:cs="Times New Roman"/>
          <w:b/>
          <w:bCs/>
          <w:kern w:val="36"/>
          <w:sz w:val="24"/>
          <w:szCs w:val="24"/>
          <w:lang w:val="kk-KZ" w:eastAsia="ru-RU"/>
        </w:rPr>
      </w:pPr>
      <w:bookmarkStart w:id="0" w:name="_Toc163198621"/>
      <w:r w:rsidRPr="00F34803">
        <w:rPr>
          <w:rFonts w:ascii="Times New Roman" w:eastAsia="Times New Roman" w:hAnsi="Times New Roman" w:cs="Times New Roman"/>
          <w:kern w:val="36"/>
          <w:sz w:val="24"/>
          <w:szCs w:val="24"/>
          <w:lang w:val="kk-KZ" w:eastAsia="ru-RU"/>
        </w:rPr>
        <w:t>4.5.1  PayCash</w:t>
      </w:r>
      <w:bookmarkEnd w:id="0"/>
      <w:r w:rsidRPr="00F34803">
        <w:rPr>
          <w:rFonts w:ascii="Times New Roman" w:eastAsia="Times New Roman" w:hAnsi="Times New Roman" w:cs="Times New Roman"/>
          <w:kern w:val="36"/>
          <w:sz w:val="24"/>
          <w:szCs w:val="24"/>
          <w:lang w:val="kk-KZ" w:eastAsia="ru-RU"/>
        </w:rPr>
        <w:t xml:space="preserve"> электрондық қолма-қол ақшалар жүйесі</w:t>
      </w:r>
    </w:p>
    <w:p w:rsidR="007627A2" w:rsidRPr="00F34803" w:rsidRDefault="007627A2" w:rsidP="007627A2">
      <w:pPr>
        <w:spacing w:after="0" w:line="240" w:lineRule="auto"/>
        <w:ind w:firstLine="709"/>
        <w:outlineLvl w:val="0"/>
        <w:rPr>
          <w:rFonts w:ascii="Times New Roman" w:eastAsia="Times New Roman" w:hAnsi="Times New Roman" w:cs="Times New Roman"/>
          <w:b/>
          <w:bCs/>
          <w:kern w:val="36"/>
          <w:sz w:val="24"/>
          <w:szCs w:val="24"/>
          <w:lang w:val="kk-KZ" w:eastAsia="ru-RU"/>
        </w:rPr>
      </w:pPr>
      <w:r w:rsidRPr="00F34803">
        <w:rPr>
          <w:rFonts w:ascii="Times New Roman" w:eastAsia="Times New Roman" w:hAnsi="Times New Roman" w:cs="Times New Roman"/>
          <w:kern w:val="36"/>
          <w:sz w:val="24"/>
          <w:szCs w:val="24"/>
          <w:lang w:val="kk-KZ" w:eastAsia="ru-RU"/>
        </w:rPr>
        <w:t>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PayCash — Таврлық банк пен "Алкор-Холдинг" компаниясының тобы бірлесіп жасаған жоба. PayCash жүйесі Бүкіл әлемдік Internet желісінің шеңберінде, сомалардың кең диапазонында төлемдерді жылдам және тиімді жүргізудің қолайлы құралы ретінде ойлап шығарылған.</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PayCash (http://www.paycash. ru) төлемдік жүйесінің қатысушылары - банк, жүйенің компания-операторы және клиенттер болып табылады. Клиент-тер ретінде жеке және заңды тұлғалар, сондай-ақ сол немесе басқалар атынан роботтар қатыса алады. Роботтар – автономдық түрде қызмет ететін компьютерлік программалар, олар дүкендердің, казиноның, дилингтік орталықтардың, букмекерлік кеңселердің және т.б. ролін ойнайды.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Банк тұрығысынан барлық клиенттер тең құқықты. Жеке алғанда, төлемдерді қабылдау мүмкіндігі болуы үшін, клиентке ешқандай «дүкеннің» статусы талап етілмейді. Клиент PayCash жүйесі шеңберіндегі өзінің барлық операциясын «Кошелек» деп аталатын арнайы программалық қамтамасыз ету көмегімен жүргізеді. Жүйеге қатысушылардың өзара әрекеттері Internet бойынша хабарлама жіберу арқылы жүреді.</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Жүйенің жұмыс сұлбасы мынадай болып келеді. Болашақ клиент Internet бойынша «Кошелектің» көмегімен банктағы шотын ашады да, қандай да бір тәсілмен осы шотқа ақша аударады. Клиент өз шотына ақшаны түрлі тәсілдермен аудара алады: қолма-қол ақшаны банк кассасына салу арқылы, банктік немесе поштамен аудару арқылы, кредиттік картаның көмегімен және ең соңында, басқа клиент оған PayCash жүйесі шеңберінде төлей алады. Осы операциялардан кейін ол жүйенің клиенті болып саналады.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PayCash жүйесі шеңберінде есептесу мүмкіндігін алу үшін клиент өзінің компьютерінде «Кошелектің» көмегімен бір немесе бірнеше төлемдік кітапшалар </w:t>
      </w:r>
      <w:r w:rsidRPr="00F34803">
        <w:rPr>
          <w:rFonts w:ascii="Times New Roman" w:eastAsia="Times New Roman" w:hAnsi="Times New Roman" w:cs="Times New Roman"/>
          <w:sz w:val="24"/>
          <w:szCs w:val="24"/>
          <w:lang w:val="kk-KZ" w:eastAsia="ru-RU"/>
        </w:rPr>
        <w:lastRenderedPageBreak/>
        <w:t>жасайды. Сосын, қайтадан соның көмегімен өз шотынан ақшаның біршама сомасын кітапшалардың біріне, яғни өз компьютеріне аударады. Енді клиент Internet-те, анонимді түрде, өзінің төлемдік кітапшаларында жатқан ақшалармен есептесуге дайын. Әрбір төлемді банк авторлайды. Төлем кезіндегі хабарласу тізбегі мынадай болып келеді: сатушы ® сатып алушы ® сатушы ® банк ® сатушы ® сатып алушы.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Бірінші қадамда сатушы сатып алушыдан ақша сұрайды, оның үстіне, сұранысқа мәміленің қол қойылған келісім-шарты енгізілген. Екінші қадамда сатып алушы сатушыға төлем деректерін салып жібереді. Одан әрі сатушы төлем деректерін авторлау үшін банкке жібереді. Банк қажетті тексерістер жүргізіп, сатушыға, сондай-ақ сатып алушыға да квитанциялар жібереді. Сатушы сатып алушыға өзінің шешімін хабарлап, сатып алушының атына банк шифрлаған деректерді  салып жібереді.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PayCash жүйесінде клиент «электрондық қолма-қол ақшаны» өзінің билігіне алатынын, оларды да кәдімгі қағаз ақша сияқты жоғалтып алуға болатынын ескерген жөн. Мысалы, егер клиенттің компьютері «жанып кетсе» немесе оны ұрлап кетсе, онда клиент өз компьютеріне аударған және жұмсап үлгермеген барлық ақшасынан айрылады. Осылайша, PayCash жүйесі – бұл тек банк-клиент жүйесі ғана емес, анонимдік электрондық ақшалар жүйесі.</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xml:space="preserve">Жүйенің негізгі параметрлері: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bookmarkStart w:id="1" w:name="OCRUncertain190"/>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көп валюталылығы.</w:t>
      </w:r>
      <w:bookmarkEnd w:id="1"/>
      <w:r w:rsidRPr="00F34803">
        <w:rPr>
          <w:rFonts w:ascii="Times New Roman" w:eastAsia="Times New Roman" w:hAnsi="Times New Roman" w:cs="Times New Roman"/>
          <w:sz w:val="24"/>
          <w:szCs w:val="24"/>
          <w:lang w:val="kk-KZ" w:eastAsia="ru-RU"/>
        </w:rPr>
        <w:t xml:space="preserve"> Жүйе бір мезгілде 255 есеге дейін жеке валюта-ларды ұстай алады. Әрбір валюта үшін түсірімнің минимум бірлігінің (МБ) ұғымы енгізілуде, ол ондық дәрежесіне тең және шамамен ресейдің 10 (жаңа) тиындарына барабар. Мысалы, АҚШ доллары үшін MБ=0,01 USD, жапондық йена үшін МБ=1 JPY. Жүйедегі барлық есептеулер, мысалы, конвертациялар немесе пайыздарды есептеу кезінде 0,0001 MБ дейінгі дәлдікпен жүргізіледі. Банк валюталардың жинағын таңдайды, олармен  жұмыс істейді және басқа деректермен біріктіріп Internet желісінде жариялайды;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мүмкін болатын төлемдер диапазоны. Кез келген клиент бір қабыл-дауда басқа клиентке 0,0001 МБ басталған соманы төлей алады (мысалы, рубль үшін – 0,001 тиын және одан жоғары, АҚШ доллары үшін 0,0001 цент және одан жоғары). Жоғары төлем практикалық түрде шектелмейді. Нақты төлемдердің төменгі шегі келесі сыртқы жағдайлармен анықталады. Біріншіден, Internet-тегі жұмыстың бір минуты қатардағы пайдаланушы үшін 2-ден бастап 4 центке дейін тұрады. Осыған орай, егер төлем бірнеше секундқа созылса, онда бұл сол себепті әр тарапқа 0,1 центтен кем болмайтындай  есептеледі және, осыған сәйкес, ақшаны қабылдаушы тарапқа аз сома алудың ерекше мәні жоқ. Екіншіден, банк ақша алушыдан әрбір төлем үшін комиссиялық ақша алуы мүмкін. Мысалы, банк төлемнен 1МБ +1% ұстауы мүмкін, сондықтан төлем сомасы 1,010101 MБ болғанда ақша алушы (сатушы) ештеңе алмайды, ал аз сома болса, банк төлемді қабылдамайды;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төлем дискреттілігі. Төлем сомасы алдыңғы тарауда сипатталған диапазон шегінде 0,0001 МБ дейінгі дәлдікте кез келген санмен анықталуы мүмкін. Мысалы, доллармен төлеу - 87364,123456 санымен, ал рубльмен төлеу 1234,56789 санымен көрсетілуі мүмкін;</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электрондық ақшаларды (ЭА) шоттан төлем кітапшаларына аудару. Клиент бір қабылдауда өз шотынан өзінің төлем кітапшаларының біріне бүтін санмен берілген 1 МБ бастап 16 000 000 МБ дейін кез келген соманы аудара алады. Төлем кітапшасын қолданған кездерінің ішінде өзі арқылы 2,6 ×109 жуық MБ өткізе алады;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 xml:space="preserve">операция ұзақтығы. Егер банкте Pentium-200 типті компьютер қолданылатын болса, онда клиент бастаған кез келген операцияны ол 0,1 бастап 0,5 дейінгі секунд аралығындағы уақытта орындайды. Операцияны өткізудің жалпы уақыты келесі құраушылардан тұрады: банк хабарламасын өңдеу уақыты, хабарламаларды операцияның басқа қатысушыларының компьютерлерімен қалыптастыру және өңдеу уақыты, желі бойынша қатысушылар арасындағы хабарламаларды жүргізу уақыты, клиенттердің «ойластыруға» жіберетін уақыты. Клиенттің хабарламаны өңдеу уақыты оның </w:t>
      </w:r>
      <w:r w:rsidRPr="00F34803">
        <w:rPr>
          <w:rFonts w:ascii="Times New Roman" w:eastAsia="Times New Roman" w:hAnsi="Times New Roman" w:cs="Times New Roman"/>
          <w:sz w:val="24"/>
          <w:szCs w:val="24"/>
          <w:lang w:val="kk-KZ" w:eastAsia="ru-RU"/>
        </w:rPr>
        <w:lastRenderedPageBreak/>
        <w:t>компьютерінің қуаттылығына байланысты және Pentium-200 типті компьютер үшін 0,5 секундтан аз болуы мүмкін;</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клиент компьютеріндегі электрондық ақшаның болу уақыты</w:t>
      </w:r>
      <w:r w:rsidRPr="00F34803">
        <w:rPr>
          <w:rFonts w:ascii="Times New Roman" w:eastAsia="Times New Roman" w:hAnsi="Times New Roman" w:cs="Times New Roman"/>
          <w:sz w:val="24"/>
          <w:szCs w:val="24"/>
          <w:lang w:eastAsia="ru-RU"/>
        </w:rPr>
        <w:t xml:space="preserve">. </w:t>
      </w:r>
      <w:r w:rsidRPr="00F34803">
        <w:rPr>
          <w:rFonts w:ascii="Times New Roman" w:eastAsia="Times New Roman" w:hAnsi="Times New Roman" w:cs="Times New Roman"/>
          <w:sz w:val="24"/>
          <w:szCs w:val="24"/>
          <w:lang w:val="kk-KZ" w:eastAsia="ru-RU"/>
        </w:rPr>
        <w:t>Клиент компьютеріне аударылған электрондық ақшалар, банк шифрларын ауыстыру кезінде болатын төлем кітапшасының «күйіп кетуіне» дейін оперативтік төлем қабілеттілігін сақтайды. Шифрларды ауыстыру мерзімді-лігі бірнеше жылды құрауы мүмкін. Шифрлардың бір тобының қолданылу кезеңінің ортасында басқа тобының қолданысы басталады, осылайша уақыттың әр сәтінде дұрыс шифрлардың екі тобы болады: біреуі – ескірген, екіншісі – жаңа. Жаңадан жасалатын төлем кітапшасы әрқашан шифрлардың жаңа тобын қолданады, сондықтан да шифрлар тобының қолданылу кезеңі-нің жартысынан да аз әрекетте болады. Осылайша, клиенттің, электрондық ақшаны жұмсауға немесе одан гөрі жаңа шифрларға көшуге уақыты жеткілікті. Егер қандай да бір себептермен клиент оны да, басқаны да істемесе, онда ол анағұрлым ұзақ тәртіппен өзінің төлем қабілеттілігін жоғалтқан ЭА қайта орнына келтіре алмайды;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клиенттердің тең құқықтығы. Барлық клиенттер функционалдық түрде тең құқықты, жеке алғанда, кез келген клиент ақшаны төлей де алады, ала да алады;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Төлемдердің анонимдігі. PayCash жүйесіндегі төлемдердің анонимдігі екі деңгейде қамтамасыз етіледі. Біріншіден, клиент банкте шот ашқан кезде өзі туралы ешқандай ақиқаттаушы ақпарат бермеуіне болады. Екіншіден, кез келген төлем үшін банк, есептесу жүргізілген ақша қандай шоттан алынғанын белгілеуге де теориялық мүмкіндігі болмайды, өйткені электрон-дық ақшаны шоттан төлем кітапшаларына аудару кезінде «көзсіз» қол қою технологиясы пайдаланылады;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төлемдердің байланыстылығы. Банк өз қаражатымен, нақты төлемге қатысушы ақшалар (тіпті олардың алушыларымен корпорацияда) қандай шоттан келгенін белгілей алмағанмен, банкта, бір төлем кітапшасынан жүргізілген, оның кімге тиісті екенін білмесе де, барлық төлемдерді көрсету-дің принциптік мүмкіндігі бар.  Төлемдер байланыстылығының осы қасиеті клиенттің анонимдігіне бірқатар қауіп төндіреді, өйткені клиенттің төлемдерінің бірі жүйеге қатысты сыртқы қаражаттармен атрибутталса, онда клиенттің берілген төлем кітапшасымен байланысты барлық төлемдік тарихы ашылып қалуы мүмкін. Осы қауіпті азайту үшін клиент, жаңа төлем кітапшаларын ашып, ескісін қолдануды тоқтату арқылы өзінің төлемдік тарихын доғаруына болады. Оның үстіне кітапшаның табиғи жарамсыздануы кезінде оның төлемдік тарихы аяқталады. Клиентке өзінің төлемдік тарихын қалай жиі ауыстыру керек және бір мезгілде олардың қаншасы болу керек екені оның күдікшілдігіне және банк белгілейтін төлемдік кітапшаны ашу бағасына байланысты;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қауіпсіздігі. Желі бойынша жіберу кезінде барлық деректер крипто-графия айналасында тұрақты беделі бар әдістермен шифрланады. Осыған орай 1024 биттен қысқа емес ашық кілттер мен 128 биттен қысқа емес симметриялы кілттер қолданылады, сондықтан шифрланған хабарларды ұстап алу көз жетерлік болашақта есептік түрде мүмкін емес. Жүйені жүзеге асыру кезінде де клиент үшін шетін ақпаратты оның компьютерінен тікелей ұрлау әрекетінен оны қорғайтын сақтық шаралары да қарастырылған: а) программалық қамтамасыз ету мен деректер базасының бүтіндігін «Кошелек» бақылайды; б) деректер базасы қатқыл дискіде шифрланған күйінде сақталады; в) клиент компьютерінің күйреуінен кейін статусын қалпына келтіруге жеткілікті деректердің көшірмелерін шифрланған түрде  дискетаға сақтау мүмкіндігі бар; г) «Кошелекті» іске қосу парольмен шартталған және т.б. Сақтықтың қарапайым ережелерін орындайтын клиент өзінің электрондық ақшасының қауіпсіздігіне сенімді бола алады;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қорғалғандығы. Жүйенің барлық қатысушылары бір-бірінен және сыртқы қаскүнемдерден қорғалған, яғни бұл олардың қол астында өздерінің дұрыстықтарын дәлелдейтін және әділетсіз серіктесін әшкерелейтін техника-лық құралдары бар деген мағынада;</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lastRenderedPageBreak/>
        <w:t>-   </w:t>
      </w:r>
      <w:r w:rsidRPr="00F34803">
        <w:rPr>
          <w:rFonts w:ascii="Times New Roman" w:eastAsia="Times New Roman" w:hAnsi="Times New Roman" w:cs="Times New Roman"/>
          <w:sz w:val="24"/>
          <w:szCs w:val="24"/>
          <w:lang w:val="kk-KZ" w:eastAsia="ru-RU"/>
        </w:rPr>
        <w:t xml:space="preserve">байланыстың үзілуіне қатысты тұрақтылық. Егер қандай болмасын қаржылық мәні бар операцияға қызмет ететін хабарлармен алмасу хаттамасы аяғына дейін сәтті жеткізілмесе, онда тараптардың бірі де ақшаларын жоғалту қатеріне бармайды; </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w:t>
      </w:r>
      <w:r w:rsidRPr="00F34803">
        <w:rPr>
          <w:rFonts w:ascii="Times New Roman" w:eastAsia="Times New Roman" w:hAnsi="Times New Roman" w:cs="Times New Roman"/>
          <w:sz w:val="24"/>
          <w:szCs w:val="24"/>
          <w:lang w:val="kk-KZ" w:eastAsia="ru-RU"/>
        </w:rPr>
        <w:t>электрондық поштаны қолдау. PayCash жүйесі, көбінесе, нақты уақыт режимінде төлемдерді жүргізуге арналғанмен, жүйеге кейбір шектеу-лерімен электрондық поштаны қолдау енгізуге болады. Электрондық ақшаны электрондық поштамен алу кезінде клиент, ақшаны алу сәті дегеніміз оны соның шотына түсіру сәті – авторлау сәті екенін түсіну керек. Жеке алғанда, электрондық ақшасы бар деген электрондық хаттың келуі, клиент ақшаны алды дегенді білдірмейді – бұл тек уәде беру. Банк тым ескі төлемдерді авторламайтынын да және бұдан басқа, төлеушіде әлі авторлау үшін банкке берілмеген төлемді жою мүмкіндігі бар екенін ескерген жөн;</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bookmarkStart w:id="2" w:name="OCRUncertain223"/>
      <w:r w:rsidRPr="00F34803">
        <w:rPr>
          <w:rFonts w:ascii="Times New Roman" w:eastAsia="Times New Roman" w:hAnsi="Times New Roman" w:cs="Times New Roman"/>
          <w:sz w:val="24"/>
          <w:szCs w:val="24"/>
          <w:lang w:val="kk-KZ" w:eastAsia="ru-RU"/>
        </w:rPr>
        <w:t>-                   масштабтылығы.</w:t>
      </w:r>
      <w:bookmarkEnd w:id="2"/>
      <w:r w:rsidRPr="00F34803">
        <w:rPr>
          <w:rFonts w:ascii="Times New Roman" w:eastAsia="Times New Roman" w:hAnsi="Times New Roman" w:cs="Times New Roman"/>
          <w:sz w:val="24"/>
          <w:szCs w:val="24"/>
          <w:lang w:val="kk-KZ" w:eastAsia="ru-RU"/>
        </w:rPr>
        <w:t xml:space="preserve"> Банк сервері Pentium 200/64 Мб/5 Гб компью-терінде тәулігіне 150 000 дейін төлемдер немесе басқа операциялар жүргізе алады. Осындай немесе бұдан да қуатты серверлерді жергілікті желіге біріктіре отырып, транзакция санын тәулігіне пропорционал түрде көбейтуге болады. Сондай-ақ, көптеген тәуелсіз банктері бар жүйені осылай кеңейтуге болады. Банктер арасында клирингтік тәртіптер туралы белгілі бір келісім болса, онда түрлі банктің клиенттері бір-біріне төлей алады;</w:t>
      </w:r>
    </w:p>
    <w:p w:rsidR="007627A2" w:rsidRPr="00F34803" w:rsidRDefault="007627A2" w:rsidP="007627A2">
      <w:pPr>
        <w:spacing w:after="0" w:line="240" w:lineRule="auto"/>
        <w:ind w:firstLine="709"/>
        <w:jc w:val="both"/>
        <w:rPr>
          <w:rFonts w:ascii="Times New Roman" w:eastAsia="Times New Roman" w:hAnsi="Times New Roman" w:cs="Times New Roman"/>
          <w:sz w:val="24"/>
          <w:szCs w:val="24"/>
          <w:lang w:val="kk-KZ" w:eastAsia="ru-RU"/>
        </w:rPr>
      </w:pPr>
      <w:r w:rsidRPr="00F34803">
        <w:rPr>
          <w:rFonts w:ascii="Times New Roman" w:eastAsia="Times New Roman" w:hAnsi="Times New Roman" w:cs="Times New Roman"/>
          <w:sz w:val="24"/>
          <w:szCs w:val="24"/>
          <w:lang w:val="kk-KZ" w:eastAsia="ru-RU"/>
        </w:rPr>
        <w:t>-                   paycash жүйесінің клиенті болу үшін, Intel 486SX процессоры бар және одан жоғары немесе біріккен, Win</w:t>
      </w:r>
      <w:r w:rsidRPr="00F34803">
        <w:rPr>
          <w:rFonts w:ascii="Times New Roman" w:eastAsia="Times New Roman" w:hAnsi="Times New Roman" w:cs="Times New Roman"/>
          <w:sz w:val="24"/>
          <w:szCs w:val="24"/>
          <w:lang w:val="kk-KZ" w:eastAsia="ru-RU"/>
        </w:rPr>
        <w:softHyphen/>
        <w:t>dows 95 немесе Windows NT операциялық жүйесінің басқаруымен жұмыс істейтін, қатқыл дискідегі бос орын 4 Мб көлеміндегі,  Internet-ке on-</w:t>
      </w:r>
      <w:r w:rsidRPr="00F34803">
        <w:rPr>
          <w:rFonts w:ascii="Times New Roman" w:eastAsia="Times New Roman" w:hAnsi="Times New Roman" w:cs="Times New Roman"/>
          <w:sz w:val="24"/>
          <w:szCs w:val="24"/>
          <w:lang w:val="kk-KZ" w:eastAsia="ru-RU"/>
        </w:rPr>
        <w:softHyphen/>
        <w:t xml:space="preserve">line режимінде тікелей қосылған, тұрақты немесе динамикалық IP-àäðåñ және жеткілікті түрде жаңа заманғы шолушысы бар (браузер) WWW (Internet Explorer 3.0,  Netscape Navigator 3.0 немесе жаңарақ) компьютері болуы керек. </w:t>
      </w:r>
    </w:p>
    <w:p w:rsidR="00894E11" w:rsidRPr="007627A2" w:rsidRDefault="00894E11">
      <w:pPr>
        <w:rPr>
          <w:lang w:val="kk-KZ"/>
        </w:rPr>
      </w:pPr>
    </w:p>
    <w:sectPr w:rsidR="00894E11" w:rsidRPr="007627A2"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27A2"/>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27A2"/>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7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1963</Words>
  <Characters>11195</Characters>
  <Application>Microsoft Office Word</Application>
  <DocSecurity>0</DocSecurity>
  <Lines>93</Lines>
  <Paragraphs>26</Paragraphs>
  <ScaleCrop>false</ScaleCrop>
  <Company>DG Win&amp;Soft</Company>
  <LinksUpToDate>false</LinksUpToDate>
  <CharactersWithSpaces>13132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2019-10-04T18:18:00Z</dcterms:created>
  <dcterms:modified xsi:type="dcterms:W3CDTF">2019-10-04T18:20:00Z</dcterms:modified>
</cp:coreProperties>
</file>